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4"/>
          <w:szCs w:val="24"/>
        </w:rPr>
      </w:pPr>
      <w:bookmarkStart w:colFirst="0" w:colLast="0" w:name="_heading=h.41px5ku1e0e7" w:id="0"/>
      <w:bookmarkEnd w:id="0"/>
      <w:r w:rsidDel="00000000" w:rsidR="00000000" w:rsidRPr="00000000">
        <w:rPr>
          <w:rFonts w:ascii="Arial" w:cs="Arial" w:eastAsia="Arial" w:hAnsi="Arial"/>
          <w:b w:val="1"/>
          <w:bCs w:val="1"/>
          <w:sz w:val="24"/>
          <w:szCs w:val="24"/>
          <w:rtl w:val="0"/>
        </w:rPr>
        <w:t xml:space="preserve">TERMS OF USE</w:t>
      </w:r>
    </w:p>
    <w:p w:rsidR="00000000" w:rsidDel="00000000" w:rsidP="00000000" w:rsidRDefault="00000000" w:rsidRPr="00000000" w14:paraId="00000002">
      <w:pPr>
        <w:spacing w:after="0" w:line="240" w:lineRule="auto"/>
        <w:jc w:val="center"/>
        <w:rPr>
          <w:rFonts w:ascii="Arial" w:cs="Arial" w:eastAsia="Arial" w:hAnsi="Arial"/>
          <w:b w:val="1"/>
          <w:bCs w:val="1"/>
        </w:rPr>
      </w:pPr>
      <w:hyperlink r:id="rId7">
        <w:r w:rsidDel="00000000" w:rsidR="00000000" w:rsidRPr="00000000">
          <w:rPr>
            <w:rFonts w:ascii="Arial" w:cs="Arial" w:eastAsia="Arial" w:hAnsi="Arial"/>
            <w:b w:val="1"/>
            <w:bCs w:val="1"/>
            <w:color w:val="1155cc"/>
            <w:u w:val="single"/>
            <w:rtl w:val="0"/>
          </w:rPr>
          <w:t xml:space="preserve">https://www.neurae.com/en-US/</w:t>
        </w:r>
      </w:hyperlink>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Last updated on April 2024 </w:t>
      </w:r>
    </w:p>
    <w:p w:rsidR="00000000" w:rsidDel="00000000" w:rsidP="00000000" w:rsidRDefault="00000000" w:rsidRPr="00000000" w14:paraId="00000005">
      <w:pPr>
        <w:spacing w:after="0" w:line="240"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LEGAL NOTICE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36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A">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Thank you for visiting our Site which is owned and operated by Sisley Cosmetics USA Inc. (collectively the “Company”, “we”, “us” or “our”). Please read these terms of use (“Terms”) carefully before using the services of this site (the “Site”). You can also view our Privacy Policy [</w:t>
      </w:r>
      <w:hyperlink r:id="rId8">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Our Privacy Policy explains what information we collect, how we gather and use the information, our policies for protecting and disclosing information, and the options you have regarding your THESE TERMS  SET FORTH THE LEGALLY BINDING TERMS  FOR YOUR USE OF THIS SITE AND THE RELATED SERVICES, FEATURES, CONTENT, APPS OR ANY PURCHASES YOU MAKE VIA THE SITE.  IF YOU DO NOT AGREE WITH THESE TERMS AND OUR PRIVACY POLICY, PLEASE DO NOT USE THIS SITE, ORDER ANY PRODUCTS FROM THIS SITE, OR PROVIDE US WITH YOUR PERSONAL INFORMATION.</w:t>
      </w:r>
    </w:p>
    <w:p w:rsidR="00000000" w:rsidDel="00000000" w:rsidP="00000000" w:rsidRDefault="00000000" w:rsidRPr="00000000" w14:paraId="0000000B">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These Terms will supersede any and all other terms and conditions contained in or referred to in order(s), correspondence, or elsewhere, We reserve the right to amend these Terms  at our sole discretion. Any amendments to these Terms will become effective immediately upon posting and apply made thereafter. It is your responsibility to check these Terms  for changes prior to use of the Site, and in any event your continued use of the Site following the posting of changes to these Terms  constitutes your acceptance of any changes. </w:t>
      </w:r>
    </w:p>
    <w:p w:rsidR="00000000" w:rsidDel="00000000" w:rsidP="00000000" w:rsidRDefault="00000000" w:rsidRPr="00000000" w14:paraId="0000000D">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YOUR ACCOUNT</w:t>
      </w:r>
    </w:p>
    <w:p w:rsidR="00000000" w:rsidDel="00000000" w:rsidP="00000000" w:rsidRDefault="00000000" w:rsidRPr="00000000" w14:paraId="0000000F">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All billing and other information provided by you on this Site must be truthful and accurate. You agree to keep such information current. Providing any untruthful or inaccurate information constitutes a breach of these Terms. We may terminate your access to the Site if you provide us with false or misleading information. When you set up an account, you are required to provide your name and email address and select a password, which you may not transfer or share with any third parties.  You are solely responsible for maintaining the confidentiality of your password, e-mail and any other account identifiers, and you are solely responsible for all use of your password and account, whether authorized by you or not. If you choose to make any of your personally identifiable information publicly available on the Site, you do so at your own risk. By confirming your purchase at the end of the checkout process, you agree to pay for the item(s) requested.</w:t>
      </w:r>
    </w:p>
    <w:p w:rsidR="00000000" w:rsidDel="00000000" w:rsidP="00000000" w:rsidRDefault="00000000" w:rsidRPr="00000000" w14:paraId="00000010">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Unauthorized reproduction, copying, re transmission or exploitation of the Site, including but not limited to all content and products, is hereby expressly prohibited.</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SITE TRANSACTIONS</w:t>
      </w:r>
    </w:p>
    <w:p w:rsidR="00000000" w:rsidDel="00000000" w:rsidP="00000000" w:rsidRDefault="00000000" w:rsidRPr="00000000" w14:paraId="00000014">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We do not authorize the purchase of our merchandise for resale purposes. We reserve the right to limit or prohibit orders that, in our sole discretion, appear to be placed by dealers, resellers or distributors. To enforce this policy, we may, in our sole discretion, limit or cancel quantities purchased per person, per household or per order. These restrictions may include, for example, orders placed by or under the same customer account, and/or the same credit card, and/or the same IP address with different credit cards and/or orders that use the same billing and/or shipping address. In the event we make a change to or cancel an order, we will attempt to notify you by contacting the e-mail and/or billing address/phone number provided at the time the order was placed.</w:t>
      </w:r>
    </w:p>
    <w:p w:rsidR="00000000" w:rsidDel="00000000" w:rsidP="00000000" w:rsidRDefault="00000000" w:rsidRPr="00000000" w14:paraId="00000016">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INFORMATION ACCURACY</w:t>
      </w:r>
    </w:p>
    <w:p w:rsidR="00000000" w:rsidDel="00000000" w:rsidP="00000000" w:rsidRDefault="00000000" w:rsidRPr="00000000" w14:paraId="00000018">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We will use reasonable efforts to include accurate and current information on the Site, but there may be occasions when information on the Site contains typographical errors, inaccuracies or omissions that may relate to product descriptions, pricing, availability and other matters. We make no warranties or representations regarding the accuracy of such information and will not be bound thereby. We reserve the right to correct any errors and to update Site information at any time (including after you have submitted your order). If a product’s correct price is higher than the price stated on the Site, we reserve the right to cancel your order. We apologize for any inconvenience this may cause.</w:t>
      </w:r>
    </w:p>
    <w:p w:rsidR="00000000" w:rsidDel="00000000" w:rsidP="00000000" w:rsidRDefault="00000000" w:rsidRPr="00000000" w14:paraId="0000001A">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AGE RESTRICTIONS</w:t>
      </w:r>
    </w:p>
    <w:p w:rsidR="00000000" w:rsidDel="00000000" w:rsidP="00000000" w:rsidRDefault="00000000" w:rsidRPr="00000000" w14:paraId="0000001D">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This Site is not intended for children. We do not intend for any portion of this Site to be accessed or used by children under the age of 13, and such use is prohibited.  If you use this Site to register an account, purchase a product from us, or enter into online surveys, sweepstakes, contests, or drawings, you affirm that you are at least 18 years of age, and agree to our Privacy Policy.  If you believe we have collected personal identifiable information from a person under the age of 13, please contact us at [Where?] with a reference in the subject line to “Child Data Deletion Request” and we will delete such personally identifiable information</w:t>
      </w:r>
    </w:p>
    <w:p w:rsidR="00000000" w:rsidDel="00000000" w:rsidP="00000000" w:rsidRDefault="00000000" w:rsidRPr="00000000" w14:paraId="0000001F">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DISCLAIMER OF WARRANTY</w:t>
      </w:r>
    </w:p>
    <w:p w:rsidR="00000000" w:rsidDel="00000000" w:rsidP="00000000" w:rsidRDefault="00000000" w:rsidRPr="00000000" w14:paraId="00000021">
      <w:pPr>
        <w:shd w:fill="ffffff" w:val="clear"/>
        <w:spacing w:after="280" w:before="280" w:line="240" w:lineRule="auto"/>
        <w:ind w:left="0" w:firstLine="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TO THE EXTENT PERMITTED BY APPLICABLE LAW AND EXCEPT FOR THE REPLACEMENT OF OR REFUND OF THE PURCHASE PRICE FOR DAMAGED PRODUCT, WE DO NOT MAKE, AND YOU DO NOT RECEIVE, ANY WARRANTIES, EXPRESS, IMPLIED, STATUTORY, OR OTHERWISE, INCLUDING ANY WARRANTY OF FITNESS FOR A PARTICULAR PURPOSE, AND WE MAKE NO WARRANTIES WITH RESPECT TO THE SITE, INCLUDING, RELIABILITY, SECURITY, LACK OF VIRUSES, BUGS OR ERRORS, OR HIDDEN DEFECTS.  YOUR USE OF THE SITE IS AT YOUR OWN RISK.</w:t>
      </w:r>
    </w:p>
    <w:p w:rsidR="00000000" w:rsidDel="00000000" w:rsidP="00000000" w:rsidRDefault="00000000" w:rsidRPr="00000000" w14:paraId="00000022">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LIMITATION OF LIABILITY</w:t>
      </w:r>
    </w:p>
    <w:p w:rsidR="00000000" w:rsidDel="00000000" w:rsidP="00000000" w:rsidRDefault="00000000" w:rsidRPr="00000000" w14:paraId="00000024">
      <w:pPr>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In no event will WE be liable to YOU OR any OTHER party for any direct, indirect, incidental, special, consequential or punitive damages for use of the Site or any other hyperlinked websites, including, without limitation, lost profits or revenues, costs of replacement, business interruptions, and loss of data or damages. In the event of any problem with the Site or any content therein, you agree that your sole remedy is to cease using the Site. In no event will OUR TOTAL liability to you in connection with YOUR ACCESS TO OR USE OF the site or PURCHASE OR USE OF the products exceed the amount (if any) paid by you to US in the six months immediately preceding the event which gave rise to the liability. Because some jurisdictions do not allow for the exclusion of damages, OUR ’s liability in such jurisdictions shall be limited to the greatest extent permitted by the law of such jurisdiction.</w:t>
      </w:r>
    </w:p>
    <w:p w:rsidR="00000000" w:rsidDel="00000000" w:rsidP="00000000" w:rsidRDefault="00000000" w:rsidRPr="00000000" w14:paraId="00000026">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WE DO NOT CONTROL Any third-party websites linked to or from the Site. Accordingly, WE make no warranties regarding such third-party websites and will not be liable for any loss or damage caused by your use or reliance on such websites. Your use of third-party websites is at your own risk. The inclusion on the Site of a link to a third-party website does not imply an endorsement by OR AFFILIATION WITH US . When you access any of these third-party websites, your rights and obligations will be governed by the agreements and policies relating to the use of those websites, INCLUDING THE PRIVACY POLICIES OF SUCH WEBSITES.</w:t>
      </w:r>
    </w:p>
    <w:p w:rsidR="00000000" w:rsidDel="00000000" w:rsidP="00000000" w:rsidRDefault="00000000" w:rsidRPr="00000000" w14:paraId="00000029">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INTELLECTUAL PROPERTY RIGHTS</w:t>
      </w:r>
    </w:p>
    <w:p w:rsidR="00000000" w:rsidDel="00000000" w:rsidP="00000000" w:rsidRDefault="00000000" w:rsidRPr="00000000" w14:paraId="0000002C">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Company and its affiliated companies retain all rights regarding their trademarks, trade names, brand names and trade dress. These marks, names, trade dress, and all associated logos or images, are registered and/or common law trademarks of the Company or its affiliated companies and may not be used without the prior written consent of the Company in each instance.</w:t>
      </w:r>
    </w:p>
    <w:p w:rsidR="00000000" w:rsidDel="00000000" w:rsidP="00000000" w:rsidRDefault="00000000" w:rsidRPr="00000000" w14:paraId="0000002E">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Site and all of its materials and content, including its software, source code, HTML code, scripts, web apps, text, artwork, photographs, images, design, video, and audio (collectively, “Materials”) are protected by U.S. copyright laws and other U.S. and international laws and treaties. All Materials are provided by the Company  as a service to its current and prospective customers and may be used only for personal information and product ordering purposes. No right, title or interest in our Materials is conveyed to you. Any unauthorized copying, alteration, distribution, transmission or display or other use of these Materials is prohibited.</w:t>
      </w:r>
    </w:p>
    <w:p w:rsidR="00000000" w:rsidDel="00000000" w:rsidP="00000000" w:rsidRDefault="00000000" w:rsidRPr="00000000" w14:paraId="0000003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Your misuse of the trademarks and copyrighted materials displayed on the Site is strictly prohibited. You are advised that the Company  will aggressively enforce its intellectual property rights to the fullest extent of the law, including the seeking of civil remedies and criminal prosecution</w:t>
      </w:r>
    </w:p>
    <w:p w:rsidR="00000000" w:rsidDel="00000000" w:rsidP="00000000" w:rsidRDefault="00000000" w:rsidRPr="00000000" w14:paraId="00000032">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MISCELLANEOUS NOTE</w:t>
      </w:r>
    </w:p>
    <w:p w:rsidR="00000000" w:rsidDel="00000000" w:rsidP="00000000" w:rsidRDefault="00000000" w:rsidRPr="00000000" w14:paraId="00000034">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No failure or delay by the Company  in exercising any right under the Terms will operate as a waiver thereof or preclude any future exercise of such right.</w:t>
      </w:r>
    </w:p>
    <w:p w:rsidR="00000000" w:rsidDel="00000000" w:rsidP="00000000" w:rsidRDefault="00000000" w:rsidRPr="00000000" w14:paraId="00000036">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If one of the provisions of the Terms is declared invalid in whole or in part, the other provisions and other rights and obligations arising from the Terms shall be unchanged and shall remain applicable.</w:t>
      </w:r>
    </w:p>
    <w:p w:rsidR="00000000" w:rsidDel="00000000" w:rsidP="00000000" w:rsidRDefault="00000000" w:rsidRPr="00000000" w14:paraId="00000038">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When you visit the Site or send e-mails to us, you are communicating with us electronically. You consent to receive communications from us electronically. We will communicate with you by e-mail and/or by posting notices on the Site. You agree that all agreements, notices, disclosures and other communications that we provide to you electronically satisfy any legal requirement that such communications be in writing.</w:t>
      </w:r>
    </w:p>
    <w:p w:rsidR="00000000" w:rsidDel="00000000" w:rsidP="00000000" w:rsidRDefault="00000000" w:rsidRPr="00000000" w14:paraId="0000003A">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You agree that regardless of any statute or law which establishes a different statute of limitations, to the maximum extent permitted under applicable law, any claim or cause of action (including any arbitration) arising out of, related to or connected with the use of the Site or the Terms or our Privacy Policy, or any Company Transaction must be filed within one (1) year after such claim or cause of action arose or be forever barred.</w:t>
      </w:r>
    </w:p>
    <w:p w:rsidR="00000000" w:rsidDel="00000000" w:rsidP="00000000" w:rsidRDefault="00000000" w:rsidRPr="00000000" w14:paraId="0000003C">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provisions of the Terms, the Purchase Policy, the Privacy Policy and the Site constitute the entire agreement between you and the Company related to the use of the Site and supersedes any prior agreements or understandings not incorporated in the Terms.</w:t>
      </w:r>
    </w:p>
    <w:p w:rsidR="00000000" w:rsidDel="00000000" w:rsidP="00000000" w:rsidRDefault="00000000" w:rsidRPr="00000000" w14:paraId="0000003F">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You agree that a printed version of the Terms and of any notice given in electronic form shall be admissible in judicial, administrative or arbitration proceedings based upon or relating to any Company Transaction to the same extent and subject to the same conditions as other business documents and records originally generated and maintained in printed form.</w:t>
      </w:r>
    </w:p>
    <w:p w:rsidR="00000000" w:rsidDel="00000000" w:rsidP="00000000" w:rsidRDefault="00000000" w:rsidRPr="00000000" w14:paraId="00000041">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Company will not be responsible for failure to fulfill any obligation due to causes beyond its control.</w:t>
      </w:r>
    </w:p>
    <w:p w:rsidR="00000000" w:rsidDel="00000000" w:rsidP="00000000" w:rsidRDefault="00000000" w:rsidRPr="00000000" w14:paraId="00000043">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APPLICABLE LAW / ATTRIBUTION OF JURISDICTION</w:t>
      </w:r>
    </w:p>
    <w:p w:rsidR="00000000" w:rsidDel="00000000" w:rsidP="00000000" w:rsidRDefault="00000000" w:rsidRPr="00000000" w14:paraId="0000004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spacing w:after="0" w:line="240" w:lineRule="auto"/>
        <w:ind w:left="804" w:hanging="444"/>
        <w:jc w:val="both"/>
        <w:rPr>
          <w:rFonts w:ascii="Arial" w:cs="Arial" w:eastAsia="Arial" w:hAnsi="Arial"/>
          <w:color w:val="000000"/>
        </w:rPr>
      </w:pPr>
      <w:r w:rsidDel="00000000" w:rsidR="00000000" w:rsidRPr="00000000">
        <w:rPr>
          <w:rFonts w:ascii="Arial" w:cs="Arial" w:eastAsia="Arial" w:hAnsi="Arial"/>
          <w:color w:val="000000"/>
          <w:rtl w:val="0"/>
        </w:rPr>
        <w:t xml:space="preserve"> Applicable Law &amp; Attribution of Jurisdiction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These Terms shall be governed by the laws of the United States and the State of New York without regard to its conflict of law provisions. Subject to the arbitration provisions below, and other than small claims actions as permitted therein, any action or proceeding arising from, relating to or in connection with these Terms or your use of the Site or purchase of products will be brought exclusively in the federal or state courts located in New York, and you irrevocably consent to the personal jurisdiction of such courts and agree that it is a convenient forum and that you will not seek to transfer such action or proceeding to any other forum or jurisdiction under the doctrine of forum non conveniens or otherwise.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spacing w:after="0" w:line="240" w:lineRule="auto"/>
        <w:ind w:left="804" w:hanging="444"/>
        <w:jc w:val="both"/>
        <w:rPr>
          <w:rFonts w:ascii="Arial" w:cs="Arial" w:eastAsia="Arial" w:hAnsi="Arial"/>
          <w:color w:val="000000"/>
        </w:rPr>
      </w:pPr>
      <w:r w:rsidDel="00000000" w:rsidR="00000000" w:rsidRPr="00000000">
        <w:rPr>
          <w:rFonts w:ascii="Arial" w:cs="Arial" w:eastAsia="Arial" w:hAnsi="Arial"/>
          <w:color w:val="000000"/>
          <w:rtl w:val="0"/>
        </w:rPr>
        <w:t xml:space="preserve">Binding Arbitration of all Disputes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We believe that arbitration is a faster, more convenient and less expensive way to resolve any disputes that you may have with us. Therefore, pursuant to the Terms, if you have any dispute with us regarding or relating to your use of the Site, or the Terms, or our Purchase Policy or our Privacy Policy or any purchases or use of the products (collectively “Company Transactions”), you will not have the right to pursue a claim in court, or have a jury decide the claim and you will not have the right to bring or participate in any class action or similar proceeding in court or in arbitration. By using the Site, or engaging in a Company Transaction with us, you agree to binding arbitration as provided below:</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We will make every reasonable effort to informally resolve any dispute that you may have with us. If those efforts fail, by using our Site, you agree that any dispute you may have against the Company, and any claim the Company  may have against you, arising out of, or connected in any way with these Terms or a Company Transaction shall be resolved exclusively by final and binding arbitration administered by JAMS or its successor (“JAMS”) and conducted in accordance with the JAMS Streamlined Arbitration Rules And Procedures in effect at the time the arbitration is initiated or, if the amount in controversy exceeds $100,000, in accordance with the JAMS Comprehensive Arbitration Rules And Procedures then in effect (respectively, the “Applicable Rules”). The Applicable Rules can be found at </w:t>
      </w:r>
      <w:hyperlink r:id="rId9">
        <w:r w:rsidDel="00000000" w:rsidR="00000000" w:rsidRPr="00000000">
          <w:rPr>
            <w:rFonts w:ascii="Arial" w:cs="Arial" w:eastAsia="Arial" w:hAnsi="Arial"/>
            <w:color w:val="1155cc"/>
            <w:u w:val="single"/>
            <w:rtl w:val="0"/>
          </w:rPr>
          <w:t xml:space="preserve">www.jamsadr.com</w:t>
        </w:r>
      </w:hyperlink>
      <w:r w:rsidDel="00000000" w:rsidR="00000000" w:rsidRPr="00000000">
        <w:rPr>
          <w:rFonts w:ascii="Arial" w:cs="Arial" w:eastAsia="Arial" w:hAnsi="Arial"/>
          <w:color w:val="000000"/>
          <w:rtl w:val="0"/>
        </w:rPr>
        <w:t xml:space="preserve">. If JAMS is no longer in existence, the Arbitration shall be administered by the American Arbitration Association or its successor (the “AAA”) instead, and conducted in accordance with the AAA Commercial Arbitration Rules in effect at that time (which shall be the “Applicable Rules” in such circumstances). If JAMS (or, if applicable, AAA) at the time the arbitration is filed has Minimum Standards of Procedural Fairness for Consumer Arbitrations in effect which would be applicable to the matter in dispute, the Company agrees to provide the benefit of such Minimum Standards to you to the extent they are more favorable than the comparable arbitration provisions set for herein, provided, however, that in no event may such Minimum Standards contravene or restrict the application of subpart (e) or (i) below. Furthermore, nothing herein shall prevent any party from seeking provisional remedies in aid of arbitration from a court of appropriate jurisdiction. You further agree that:</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(a) the arbitration shall be conducted before a single arbitrator selected in accordance with the Applicable Rules or by mutual agreement between you and the Company (the “Arbitrator”);</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(b) the Arbitrator, and not any federal, state or local court or agency, shall have the exclusive authority to resolve any dispute arising under or relating to the validity, interpretation, applicability, enforceability or formation of the Terms, including but not limited to any claim that all or any part of the Terms is void or voidable;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(c) the arbitration shall be held either (i) at a location determined by JAMS (or, if applicable, AAA) pursuant to the Applicable Rules (provided that such location is reasonably convenient for you and does not require you to travel in excess of 100 miles from your home or place of business);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or (ii) at such other location as may be mutually agreed upon by you and the Company; or (iii) at your election, if the only claims in the arbitration are asserted by you and are for less than $10,000 in aggregate, by telephone or by written submission;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(d) the Arbitrator (i) shall apply internal laws of the State of New York consistent with the Federal Arbitration Act and applicable statutes of limitations, or to the extent (if any) that federal law prevails, shall apply the law of the United States, irrespective of any conflict of law principles, (ii) shall entertain any motion to dismiss, motion to strike, motion for judgment on the pleadings, motion for complete or partial summary judgment, motion for summary adjudication, or any other dispositive motion consistent with New York or federal rules of procedure, as applicable; (iii) shall honor claims of privilege recognized at law; and (iv) shall have authority to award any form of legal or equitable relief;</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 the arbitration can resolve only your and/or the Company’s individual claims, and the Arbitrator shall have no authority to entertain or arbitrate any claims on a class or representative basis, or to consolidate or join the claims of other persons or parties who may be similarly situated;</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(f) the Arbitrator shall issue a written award supported by a statement of decision setting forth the Arbitrator’s complete determination of the dispute and the factual findings and legal conclusions relevant to it (an “Award”). Judgment upon the Award may be entered in any court having jurisdiction thereof or having jurisdiction over the relevant party or its assets;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(g) in the event you are able to demonstrate that the costs of arbitration will be prohibitive as compared to the costs of litigation, the Company will pay as much of your filing and hearing fees in connection with the arbitration as the Arbitrator deems necessary to prevent the arbitration from being cost-prohibitive, regardless of the outcome of the arbitration, unless the Arbitrator determines that your claim(s) were frivolous or asserted in bad faith;</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(h) in the event you recover an Award greater than the Company’s last written settlement offer, the Arbitrator shall also have the right to include in your Award the Company’s reimbursement of your reasonable and actual out-of-pocket attorneys’ fees associated with the arbitration, but the Company shall in all events bear its own attorneys’ fees; and</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 with the exception of subpart (e) above, if any part of this arbitration provision is deemed to be invalid, unenforceable or illegal, or otherwise conflicts with the Applicable Rules, then the balance of this arbitration provision shall remain in effect and shall be construed in accordance with its terms as if the invalid, unenforceable, illegal or conflicting provision were not contained herein. If, however, subpart (e) is found to be invalid, unenforceable or illegal, then the entirety of this arbitration provision shall be null and void, and neither you nor the Company shall be entitled to arbitrate their dispute, and must instead bring any claims in a court of competent jurisdiction.</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(j) the Company may modify these arbitration provisions, but such modifications shall only become effective thirty (30) days after the Company has given notice of such modifications and only on a prospective basis for claims arising from Company Transactions occurring after the effective date of such notification.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(k) Notwithstanding the foregoing arbitration provisions, at your option, you may bring any claim you have against the Company in your local small claims court within the United States, if your claim is within such court’s jurisdictional limit; provided such court does not have the authority to entertain any claims on a class or representative basis, or to consolidate or join the claims of other persons or parties who may be similarly situated in such proceeding.</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spacing w:after="0" w:line="240" w:lineRule="auto"/>
        <w:ind w:firstLine="360"/>
        <w:jc w:val="both"/>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sz w:val="16"/>
        <w:szCs w:val="16"/>
        <w:rtl w:val="0"/>
      </w:rPr>
      <w:t xml:space="preserve">ME1 32820336v.2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804" w:hanging="442.99999999999983"/>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ind w:left="360" w:hanging="360"/>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ind w:left="804" w:hanging="442.9999999999999"/>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ind w:left="720" w:hanging="720"/>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ind w:left="720" w:hanging="720"/>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ind w:left="1080" w:hanging="108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080" w:hanging="108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BF04D9"/>
    <w:pPr>
      <w:keepNext w:val="1"/>
      <w:keepLines w:val="1"/>
      <w:numPr>
        <w:ilvl w:val="6"/>
        <w:numId w:val="1"/>
      </w:numPr>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BF04D9"/>
    <w:pPr>
      <w:keepNext w:val="1"/>
      <w:keepLines w:val="1"/>
      <w:numPr>
        <w:ilvl w:val="7"/>
        <w:numId w:val="1"/>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itre9">
    <w:name w:val="heading 9"/>
    <w:basedOn w:val="Normal"/>
    <w:next w:val="Normal"/>
    <w:link w:val="Titre9Car"/>
    <w:uiPriority w:val="9"/>
    <w:semiHidden w:val="1"/>
    <w:unhideWhenUsed w:val="1"/>
    <w:qFormat w:val="1"/>
    <w:rsid w:val="00BF04D9"/>
    <w:pPr>
      <w:keepNext w:val="1"/>
      <w:keepLines w:val="1"/>
      <w:numPr>
        <w:ilvl w:val="8"/>
        <w:numId w:val="1"/>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Lienhypertexte">
    <w:name w:val="Hyperlink"/>
    <w:basedOn w:val="Policepardfaut"/>
    <w:uiPriority w:val="99"/>
    <w:unhideWhenUsed w:val="1"/>
    <w:rsid w:val="00BF04D9"/>
    <w:rPr>
      <w:color w:val="0000ff"/>
      <w:u w:val="single"/>
    </w:rPr>
  </w:style>
  <w:style w:type="paragraph" w:styleId="NormalWeb">
    <w:name w:val="Normal (Web)"/>
    <w:basedOn w:val="Normal"/>
    <w:uiPriority w:val="99"/>
    <w:semiHidden w:val="1"/>
    <w:unhideWhenUsed w:val="1"/>
    <w:rsid w:val="00BF04D9"/>
    <w:pPr>
      <w:spacing w:after="100" w:afterAutospacing="1" w:before="100" w:beforeAutospacing="1" w:line="240" w:lineRule="auto"/>
    </w:pPr>
    <w:rPr>
      <w:rFonts w:ascii="Times New Roman" w:cs="Times New Roman" w:eastAsia="Times New Roman" w:hAnsi="Times New Roman"/>
      <w:sz w:val="24"/>
      <w:szCs w:val="24"/>
    </w:rPr>
  </w:style>
  <w:style w:type="character" w:styleId="lev">
    <w:name w:val="Strong"/>
    <w:basedOn w:val="Policepardfaut"/>
    <w:uiPriority w:val="22"/>
    <w:qFormat w:val="1"/>
    <w:rsid w:val="00BF04D9"/>
    <w:rPr>
      <w:b w:val="1"/>
      <w:bCs w:val="1"/>
    </w:rPr>
  </w:style>
  <w:style w:type="character" w:styleId="Titre1Car" w:customStyle="1">
    <w:name w:val="Titre 1 Car"/>
    <w:basedOn w:val="Policepardfaut"/>
    <w:link w:val="Titre1"/>
    <w:uiPriority w:val="9"/>
    <w:rsid w:val="00BF04D9"/>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link w:val="Titre2"/>
    <w:uiPriority w:val="9"/>
    <w:rsid w:val="00BF04D9"/>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link w:val="Titre3"/>
    <w:uiPriority w:val="9"/>
    <w:semiHidden w:val="1"/>
    <w:rsid w:val="00BF04D9"/>
    <w:rPr>
      <w:rFonts w:asciiTheme="majorHAnsi" w:cstheme="majorBidi" w:eastAsiaTheme="majorEastAsia" w:hAnsiTheme="majorHAnsi"/>
      <w:b w:val="1"/>
      <w:bCs w:val="1"/>
      <w:color w:val="4f81bd" w:themeColor="accent1"/>
    </w:rPr>
  </w:style>
  <w:style w:type="character" w:styleId="Titre4Car" w:customStyle="1">
    <w:name w:val="Titre 4 Car"/>
    <w:basedOn w:val="Policepardfaut"/>
    <w:link w:val="Titre4"/>
    <w:uiPriority w:val="9"/>
    <w:semiHidden w:val="1"/>
    <w:rsid w:val="00BF04D9"/>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link w:val="Titre5"/>
    <w:uiPriority w:val="9"/>
    <w:semiHidden w:val="1"/>
    <w:rsid w:val="00BF04D9"/>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BF04D9"/>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BF04D9"/>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BF04D9"/>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BF04D9"/>
    <w:rPr>
      <w:rFonts w:asciiTheme="majorHAnsi" w:cstheme="majorBidi" w:eastAsiaTheme="majorEastAsia" w:hAnsiTheme="majorHAnsi"/>
      <w:i w:val="1"/>
      <w:iCs w:val="1"/>
      <w:color w:val="404040" w:themeColor="text1" w:themeTint="0000BF"/>
      <w:sz w:val="20"/>
      <w:szCs w:val="20"/>
    </w:rPr>
  </w:style>
  <w:style w:type="paragraph" w:styleId="Paragraphedeliste">
    <w:name w:val="List Paragraph"/>
    <w:basedOn w:val="Normal"/>
    <w:uiPriority w:val="34"/>
    <w:qFormat w:val="1"/>
    <w:rsid w:val="00BF04D9"/>
    <w:pPr>
      <w:ind w:left="720"/>
      <w:contextualSpacing w:val="1"/>
    </w:pPr>
  </w:style>
  <w:style w:type="character" w:styleId="UnresolvedMention1" w:customStyle="1">
    <w:name w:val="Unresolved Mention1"/>
    <w:basedOn w:val="Policepardfaut"/>
    <w:uiPriority w:val="99"/>
    <w:semiHidden w:val="1"/>
    <w:unhideWhenUsed w:val="1"/>
    <w:rsid w:val="00E408A4"/>
    <w:rPr>
      <w:color w:val="605e5c"/>
      <w:shd w:color="auto" w:fill="e1dfdd" w:val="clear"/>
    </w:rPr>
  </w:style>
  <w:style w:type="paragraph" w:styleId="Textedebulles">
    <w:name w:val="Balloon Text"/>
    <w:basedOn w:val="Normal"/>
    <w:link w:val="TextedebullesCar"/>
    <w:uiPriority w:val="99"/>
    <w:semiHidden w:val="1"/>
    <w:unhideWhenUsed w:val="1"/>
    <w:rsid w:val="00B006CA"/>
    <w:pPr>
      <w:spacing w:after="0" w:line="240" w:lineRule="auto"/>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006CA"/>
    <w:rPr>
      <w:rFonts w:ascii="Segoe UI" w:cs="Segoe UI" w:hAnsi="Segoe UI"/>
      <w:sz w:val="18"/>
      <w:szCs w:val="18"/>
    </w:rPr>
  </w:style>
  <w:style w:type="paragraph" w:styleId="En-tte">
    <w:name w:val="header"/>
    <w:basedOn w:val="Normal"/>
    <w:link w:val="En-tteCar"/>
    <w:uiPriority w:val="99"/>
    <w:unhideWhenUsed w:val="1"/>
    <w:rsid w:val="00BE595D"/>
    <w:pPr>
      <w:tabs>
        <w:tab w:val="center" w:pos="4680"/>
        <w:tab w:val="right" w:pos="9360"/>
      </w:tabs>
      <w:spacing w:after="0" w:line="240" w:lineRule="auto"/>
    </w:pPr>
  </w:style>
  <w:style w:type="character" w:styleId="En-tteCar" w:customStyle="1">
    <w:name w:val="En-tête Car"/>
    <w:basedOn w:val="Policepardfaut"/>
    <w:link w:val="En-tte"/>
    <w:uiPriority w:val="99"/>
    <w:rsid w:val="00BE595D"/>
  </w:style>
  <w:style w:type="paragraph" w:styleId="Pieddepage">
    <w:name w:val="footer"/>
    <w:basedOn w:val="Normal"/>
    <w:link w:val="PieddepageCar"/>
    <w:uiPriority w:val="99"/>
    <w:unhideWhenUsed w:val="1"/>
    <w:rsid w:val="00BE595D"/>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BE595D"/>
  </w:style>
  <w:style w:type="character" w:styleId="Marquedecommentaire">
    <w:name w:val="annotation reference"/>
    <w:basedOn w:val="Policepardfaut"/>
    <w:uiPriority w:val="99"/>
    <w:semiHidden w:val="1"/>
    <w:unhideWhenUsed w:val="1"/>
    <w:rsid w:val="008E5C9E"/>
    <w:rPr>
      <w:sz w:val="16"/>
      <w:szCs w:val="16"/>
    </w:rPr>
  </w:style>
  <w:style w:type="paragraph" w:styleId="Commentaire">
    <w:name w:val="annotation text"/>
    <w:basedOn w:val="Normal"/>
    <w:link w:val="CommentaireCar"/>
    <w:uiPriority w:val="99"/>
    <w:semiHidden w:val="1"/>
    <w:unhideWhenUsed w:val="1"/>
    <w:rsid w:val="008E5C9E"/>
    <w:pPr>
      <w:spacing w:line="240" w:lineRule="auto"/>
    </w:pPr>
    <w:rPr>
      <w:sz w:val="20"/>
      <w:szCs w:val="20"/>
    </w:rPr>
  </w:style>
  <w:style w:type="character" w:styleId="CommentaireCar" w:customStyle="1">
    <w:name w:val="Commentaire Car"/>
    <w:basedOn w:val="Policepardfaut"/>
    <w:link w:val="Commentaire"/>
    <w:uiPriority w:val="99"/>
    <w:semiHidden w:val="1"/>
    <w:rsid w:val="008E5C9E"/>
    <w:rPr>
      <w:sz w:val="20"/>
      <w:szCs w:val="20"/>
    </w:rPr>
  </w:style>
  <w:style w:type="paragraph" w:styleId="Objetducommentaire">
    <w:name w:val="annotation subject"/>
    <w:basedOn w:val="Commentaire"/>
    <w:next w:val="Commentaire"/>
    <w:link w:val="ObjetducommentaireCar"/>
    <w:uiPriority w:val="99"/>
    <w:semiHidden w:val="1"/>
    <w:unhideWhenUsed w:val="1"/>
    <w:rsid w:val="008E5C9E"/>
    <w:rPr>
      <w:b w:val="1"/>
      <w:bCs w:val="1"/>
    </w:rPr>
  </w:style>
  <w:style w:type="character" w:styleId="ObjetducommentaireCar" w:customStyle="1">
    <w:name w:val="Objet du commentaire Car"/>
    <w:basedOn w:val="CommentaireCar"/>
    <w:link w:val="Objetducommentaire"/>
    <w:uiPriority w:val="99"/>
    <w:semiHidden w:val="1"/>
    <w:rsid w:val="008E5C9E"/>
    <w:rPr>
      <w:b w:val="1"/>
      <w:bCs w:val="1"/>
      <w:sz w:val="20"/>
      <w:szCs w:val="20"/>
    </w:rPr>
  </w:style>
  <w:style w:type="paragraph" w:styleId="Rvision">
    <w:name w:val="Revision"/>
    <w:hidden w:val="1"/>
    <w:uiPriority w:val="99"/>
    <w:semiHidden w:val="1"/>
    <w:rsid w:val="008E5C9E"/>
    <w:pPr>
      <w:spacing w:after="0" w:line="240" w:lineRule="auto"/>
    </w:pPr>
  </w:style>
  <w:style w:type="character" w:styleId="basic-information" w:customStyle="1">
    <w:name w:val="basic-information"/>
    <w:basedOn w:val="Policepardfaut"/>
    <w:rsid w:val="005877D5"/>
  </w:style>
  <w:style w:type="character" w:styleId="phone-number" w:customStyle="1">
    <w:name w:val="phone-number"/>
    <w:basedOn w:val="Policepardfaut"/>
    <w:rsid w:val="005877D5"/>
  </w:style>
  <w:style w:type="character" w:styleId="feedback" w:customStyle="1">
    <w:name w:val="feedback"/>
    <w:basedOn w:val="Policepardfaut"/>
    <w:rsid w:val="005877D5"/>
  </w:style>
  <w:style w:type="paragraph" w:styleId="complaints" w:customStyle="1">
    <w:name w:val="complaints"/>
    <w:basedOn w:val="Normal"/>
    <w:rsid w:val="005877D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jamsadr.com"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eurae.com/en-US/privacy-policy/" TargetMode="External"/><Relationship Id="rId8" Type="http://schemas.openxmlformats.org/officeDocument/2006/relationships/hyperlink" Target="https://www.neurae.com/on/demandware.static/-/Library-Sites-Neurae/default/legal/US_NEURAE_Personal_Data_Protection_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5JLxFNO3cZ934Huay0kAaQGWA==">CgMxLjAyDmguNDFweDVrdTFlMGU3OAByITFNa0VjM1paUmFPY2JMcC04SmlZeGNoVFVNRno0VnJReQ==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2024-02-12T21:20:00Z</dcterms:created>
  <dc:creator>Iara Carmona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SWDocID">
    <vt:lpwstr>ME1 32820336v.2</vt:lpwstr>
  </property>
</Properties>
</file>